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A058" w14:textId="7860449A" w:rsidR="003C6B99" w:rsidRPr="00D03FA3" w:rsidRDefault="003C6B99" w:rsidP="003C6B99">
      <w:pPr>
        <w:pStyle w:val="m2mm2"/>
        <w:widowControl/>
        <w:spacing w:before="560"/>
        <w:ind w:left="0" w:firstLine="0"/>
        <w:rPr>
          <w:color w:val="auto"/>
          <w:sz w:val="24"/>
          <w:szCs w:val="24"/>
          <w:lang w:val="nb-NO"/>
        </w:rPr>
      </w:pPr>
      <w:r w:rsidRPr="003C6B99">
        <w:rPr>
          <w:lang w:val="nb-NO"/>
        </w:rPr>
        <w:t>Omregning av kapitalkostnad</w:t>
      </w:r>
    </w:p>
    <w:p w14:paraId="77EF71D0" w14:textId="77777777" w:rsidR="00C20743" w:rsidRPr="00330E07" w:rsidRDefault="00C20743" w:rsidP="00330E07"/>
    <w:p w14:paraId="089B95F5" w14:textId="33FBE34D" w:rsidR="00C929CF" w:rsidRPr="00330E07" w:rsidRDefault="00C929CF" w:rsidP="00C929CF">
      <w:pPr>
        <w:pStyle w:val="b1fb1"/>
        <w:ind w:firstLine="0"/>
        <w:rPr>
          <w:rFonts w:ascii="Times New Roman" w:hAnsi="Times New Roman" w:cs="Times New Roman"/>
          <w:w w:val="100"/>
          <w:sz w:val="21"/>
          <w:szCs w:val="21"/>
        </w:rPr>
      </w:pPr>
      <w:r w:rsidRPr="00330E07">
        <w:rPr>
          <w:rFonts w:ascii="Times New Roman" w:hAnsi="Times New Roman" w:cs="Times New Roman"/>
          <w:w w:val="100"/>
          <w:sz w:val="21"/>
          <w:szCs w:val="21"/>
        </w:rPr>
        <w:t>Grovvurdering</w:t>
      </w:r>
      <w:r w:rsidRPr="00330E07">
        <w:rPr>
          <w:rFonts w:ascii="Times New Roman" w:hAnsi="Times New Roman" w:cs="Times New Roman"/>
          <w:sz w:val="21"/>
          <w:szCs w:val="21"/>
        </w:rPr>
        <w:fldChar w:fldCharType="begin"/>
      </w:r>
      <w:r w:rsidRPr="00330E07">
        <w:rPr>
          <w:rFonts w:ascii="Times New Roman" w:hAnsi="Times New Roman" w:cs="Times New Roman"/>
          <w:sz w:val="21"/>
          <w:szCs w:val="21"/>
        </w:rPr>
        <w:instrText xml:space="preserve"> XE "grovvurdering" </w:instrText>
      </w:r>
      <w:r w:rsidRPr="00330E07">
        <w:rPr>
          <w:rFonts w:ascii="Times New Roman" w:hAnsi="Times New Roman" w:cs="Times New Roman"/>
          <w:sz w:val="21"/>
          <w:szCs w:val="21"/>
        </w:rPr>
        <w:fldChar w:fldCharType="end"/>
      </w:r>
      <w:r w:rsidR="004D5285" w:rsidRPr="00330E07">
        <w:rPr>
          <w:rFonts w:ascii="Times New Roman" w:hAnsi="Times New Roman" w:cs="Times New Roman"/>
          <w:w w:val="100"/>
          <w:sz w:val="21"/>
          <w:szCs w:val="21"/>
        </w:rPr>
        <w:t xml:space="preserve"> skal</w:t>
      </w:r>
      <w:r w:rsidRPr="00330E07">
        <w:rPr>
          <w:rFonts w:ascii="Times New Roman" w:hAnsi="Times New Roman" w:cs="Times New Roman"/>
          <w:w w:val="100"/>
          <w:sz w:val="21"/>
          <w:szCs w:val="21"/>
        </w:rPr>
        <w:t xml:space="preserve"> raskt</w:t>
      </w:r>
      <w:r w:rsidR="004D5285" w:rsidRPr="00330E07">
        <w:rPr>
          <w:rFonts w:ascii="Times New Roman" w:hAnsi="Times New Roman" w:cs="Times New Roman"/>
          <w:w w:val="100"/>
          <w:sz w:val="21"/>
          <w:szCs w:val="21"/>
        </w:rPr>
        <w:t xml:space="preserve"> </w:t>
      </w:r>
      <w:r w:rsidRPr="00330E07">
        <w:rPr>
          <w:rFonts w:ascii="Times New Roman" w:hAnsi="Times New Roman" w:cs="Times New Roman"/>
          <w:w w:val="100"/>
          <w:sz w:val="21"/>
          <w:szCs w:val="21"/>
        </w:rPr>
        <w:t xml:space="preserve">avgjøre om det har noen hensikt å analysere prosjektets lønnsomhet i mer detalj. I del 5.3 gjennomgikk vi et slikt grovvurderingsverktøy. Vi forutsatte at alle driftsår er like, og at det er tilstrekkelig å budsjettere totalkapitalstrømmen i faste priser før skatt. Denne kontantstrømmen skal følgelig diskonteres med en reell totalkapitalkostnad før skatt, siden nåverdiuttrykkets teller og nevner alltid skal ha samme benevning (se del 3.4.1). </w:t>
      </w:r>
    </w:p>
    <w:p w14:paraId="37EE3DB6" w14:textId="6F528D88" w:rsidR="00C20743" w:rsidRPr="00330E07" w:rsidRDefault="00C929CF" w:rsidP="00C929CF">
      <w:pPr>
        <w:pStyle w:val="b1fb1"/>
        <w:ind w:firstLine="0"/>
        <w:rPr>
          <w:rFonts w:ascii="Times New Roman" w:hAnsi="Times New Roman" w:cs="Times New Roman"/>
          <w:w w:val="100"/>
          <w:sz w:val="21"/>
          <w:szCs w:val="21"/>
        </w:rPr>
      </w:pPr>
      <w:r w:rsidRPr="00330E07">
        <w:rPr>
          <w:rFonts w:ascii="Times New Roman" w:hAnsi="Times New Roman" w:cs="Times New Roman"/>
          <w:w w:val="100"/>
          <w:sz w:val="21"/>
          <w:szCs w:val="21"/>
        </w:rPr>
        <w:tab/>
        <w:t>Spørsmålet er så hvordan denne kapitalkostnaden skal tallfestes, forutsatt at du har startet med en nominell totalkap</w:t>
      </w:r>
      <w:r w:rsidR="004B7540" w:rsidRPr="00330E07">
        <w:rPr>
          <w:rFonts w:ascii="Times New Roman" w:hAnsi="Times New Roman" w:cs="Times New Roman"/>
          <w:w w:val="100"/>
          <w:sz w:val="21"/>
          <w:szCs w:val="21"/>
        </w:rPr>
        <w:t>italkostnad etter skatt fra (8.6</w:t>
      </w:r>
      <w:r w:rsidRPr="00330E07">
        <w:rPr>
          <w:rFonts w:ascii="Times New Roman" w:hAnsi="Times New Roman" w:cs="Times New Roman"/>
          <w:w w:val="100"/>
          <w:sz w:val="21"/>
          <w:szCs w:val="21"/>
        </w:rPr>
        <w:t>). Oppgaven er derfor å regne om fra en nominell totalkapitalkostnad etter skatt (</w:t>
      </w:r>
      <w:proofErr w:type="spellStart"/>
      <w:r w:rsidRPr="00330E07">
        <w:rPr>
          <w:rStyle w:val="Italic"/>
          <w:rFonts w:ascii="Times New Roman" w:hAnsi="Times New Roman" w:cs="Times New Roman"/>
          <w:w w:val="100"/>
          <w:sz w:val="21"/>
          <w:szCs w:val="21"/>
        </w:rPr>
        <w:t>r</w:t>
      </w:r>
      <w:r w:rsidRPr="00330E07">
        <w:rPr>
          <w:rStyle w:val="ItalicSubscript"/>
          <w:rFonts w:ascii="Times New Roman" w:hAnsi="Times New Roman" w:cs="Times New Roman"/>
          <w:w w:val="100"/>
          <w:sz w:val="21"/>
          <w:szCs w:val="21"/>
        </w:rPr>
        <w:t>T</w:t>
      </w:r>
      <w:r w:rsidR="00E4505F" w:rsidRPr="00330E07">
        <w:rPr>
          <w:rStyle w:val="ItalicSubscript"/>
          <w:rFonts w:ascii="Times New Roman" w:hAnsi="Times New Roman" w:cs="Times New Roman"/>
          <w:w w:val="100"/>
          <w:sz w:val="21"/>
          <w:szCs w:val="21"/>
        </w:rPr>
        <w:t>K</w:t>
      </w:r>
      <w:proofErr w:type="spellEnd"/>
      <w:r w:rsidRPr="00330E07">
        <w:rPr>
          <w:rFonts w:ascii="Times New Roman" w:hAnsi="Times New Roman" w:cs="Times New Roman"/>
          <w:w w:val="100"/>
          <w:sz w:val="21"/>
          <w:szCs w:val="21"/>
        </w:rPr>
        <w:t>) til en reell totalkapitalkostnad før skatt (</w:t>
      </w:r>
      <w:proofErr w:type="spellStart"/>
      <w:r w:rsidRPr="00330E07">
        <w:rPr>
          <w:rStyle w:val="Italic"/>
          <w:rFonts w:ascii="Times New Roman" w:hAnsi="Times New Roman" w:cs="Times New Roman"/>
          <w:w w:val="100"/>
          <w:sz w:val="21"/>
          <w:szCs w:val="21"/>
        </w:rPr>
        <w:t>r</w:t>
      </w:r>
      <w:r w:rsidRPr="00330E07">
        <w:rPr>
          <w:rStyle w:val="ItalicSubscript"/>
          <w:rFonts w:ascii="Times New Roman" w:hAnsi="Times New Roman" w:cs="Times New Roman"/>
          <w:w w:val="100"/>
          <w:sz w:val="21"/>
          <w:szCs w:val="21"/>
        </w:rPr>
        <w:t>T</w:t>
      </w:r>
      <w:r w:rsidR="00E4505F" w:rsidRPr="00330E07">
        <w:rPr>
          <w:rStyle w:val="ItalicSubscript"/>
          <w:rFonts w:ascii="Times New Roman" w:hAnsi="Times New Roman" w:cs="Times New Roman"/>
          <w:w w:val="100"/>
          <w:sz w:val="21"/>
          <w:szCs w:val="21"/>
        </w:rPr>
        <w:t>K</w:t>
      </w:r>
      <w:proofErr w:type="spellEnd"/>
      <w:r w:rsidRPr="00330E07">
        <w:rPr>
          <w:rStyle w:val="ItalicSubscript"/>
          <w:rFonts w:ascii="Times New Roman" w:hAnsi="Times New Roman" w:cs="Times New Roman"/>
          <w:w w:val="100"/>
          <w:sz w:val="21"/>
          <w:szCs w:val="21"/>
        </w:rPr>
        <w:t>*</w:t>
      </w:r>
      <w:r w:rsidRPr="00330E07">
        <w:rPr>
          <w:rFonts w:ascii="Times New Roman" w:hAnsi="Times New Roman" w:cs="Times New Roman"/>
          <w:w w:val="100"/>
          <w:sz w:val="21"/>
          <w:szCs w:val="21"/>
        </w:rPr>
        <w:t xml:space="preserve">). </w:t>
      </w:r>
      <w:r w:rsidR="008B6752" w:rsidRPr="00330E07">
        <w:rPr>
          <w:rFonts w:ascii="Times New Roman" w:hAnsi="Times New Roman" w:cs="Times New Roman"/>
          <w:w w:val="100"/>
          <w:sz w:val="21"/>
          <w:szCs w:val="21"/>
        </w:rPr>
        <w:t xml:space="preserve">Uttrykt med figur 8.3 kan dette formuleres slik: </w:t>
      </w:r>
    </w:p>
    <w:p w14:paraId="53D48B54" w14:textId="7064EAF9" w:rsidR="00C929CF" w:rsidRDefault="00C20743" w:rsidP="00C20743">
      <w:pPr>
        <w:pStyle w:val="b1fb1"/>
        <w:numPr>
          <w:ilvl w:val="0"/>
          <w:numId w:val="2"/>
        </w:numPr>
        <w:rPr>
          <w:rFonts w:ascii="Times New Roman" w:hAnsi="Times New Roman" w:cs="Times New Roman"/>
          <w:w w:val="100"/>
          <w:sz w:val="21"/>
          <w:szCs w:val="21"/>
        </w:rPr>
      </w:pPr>
      <w:proofErr w:type="spellStart"/>
      <w:r w:rsidRPr="00330E07">
        <w:rPr>
          <w:rFonts w:ascii="Times New Roman" w:hAnsi="Times New Roman" w:cs="Times New Roman"/>
          <w:w w:val="100"/>
          <w:sz w:val="21"/>
          <w:szCs w:val="21"/>
        </w:rPr>
        <w:t>Beregn</w:t>
      </w:r>
      <w:proofErr w:type="spellEnd"/>
      <w:r w:rsidRPr="00330E07">
        <w:rPr>
          <w:rFonts w:ascii="Times New Roman" w:hAnsi="Times New Roman" w:cs="Times New Roman"/>
          <w:w w:val="100"/>
          <w:sz w:val="21"/>
          <w:szCs w:val="21"/>
        </w:rPr>
        <w:t xml:space="preserve"> </w:t>
      </w:r>
      <w:r w:rsidR="008B6752" w:rsidRPr="00330E07">
        <w:rPr>
          <w:rFonts w:ascii="Times New Roman" w:hAnsi="Times New Roman" w:cs="Times New Roman"/>
          <w:w w:val="100"/>
          <w:sz w:val="21"/>
          <w:szCs w:val="21"/>
        </w:rPr>
        <w:t>kapitalkostnad</w:t>
      </w:r>
      <w:r w:rsidRPr="00330E07">
        <w:rPr>
          <w:rFonts w:ascii="Times New Roman" w:hAnsi="Times New Roman" w:cs="Times New Roman"/>
          <w:w w:val="100"/>
          <w:sz w:val="21"/>
          <w:szCs w:val="21"/>
        </w:rPr>
        <w:t>en</w:t>
      </w:r>
      <w:r w:rsidR="008B6752" w:rsidRPr="00330E07">
        <w:rPr>
          <w:rFonts w:ascii="Times New Roman" w:hAnsi="Times New Roman" w:cs="Times New Roman"/>
          <w:w w:val="100"/>
          <w:sz w:val="21"/>
          <w:szCs w:val="21"/>
        </w:rPr>
        <w:t xml:space="preserve"> for situasjon 1 </w:t>
      </w:r>
      <w:r w:rsidR="007667A9" w:rsidRPr="00330E07">
        <w:rPr>
          <w:rFonts w:ascii="Times New Roman" w:hAnsi="Times New Roman" w:cs="Times New Roman"/>
          <w:w w:val="100"/>
          <w:sz w:val="21"/>
          <w:szCs w:val="21"/>
        </w:rPr>
        <w:t>(</w:t>
      </w:r>
      <w:proofErr w:type="spellStart"/>
      <w:r w:rsidR="007667A9" w:rsidRPr="00330E07">
        <w:rPr>
          <w:rStyle w:val="Italic"/>
          <w:rFonts w:ascii="Times New Roman" w:hAnsi="Times New Roman" w:cs="Times New Roman"/>
          <w:w w:val="100"/>
          <w:sz w:val="21"/>
          <w:szCs w:val="21"/>
        </w:rPr>
        <w:t>r</w:t>
      </w:r>
      <w:r w:rsidR="007667A9" w:rsidRPr="00330E07">
        <w:rPr>
          <w:rStyle w:val="ItalicSubscript"/>
          <w:rFonts w:ascii="Times New Roman" w:hAnsi="Times New Roman" w:cs="Times New Roman"/>
          <w:w w:val="100"/>
          <w:sz w:val="21"/>
          <w:szCs w:val="21"/>
        </w:rPr>
        <w:t>TK</w:t>
      </w:r>
      <w:proofErr w:type="spellEnd"/>
      <w:r w:rsidR="007667A9" w:rsidRPr="00330E07">
        <w:rPr>
          <w:rStyle w:val="ItalicSubscript"/>
          <w:rFonts w:ascii="Times New Roman" w:hAnsi="Times New Roman" w:cs="Times New Roman"/>
          <w:w w:val="100"/>
          <w:sz w:val="21"/>
          <w:szCs w:val="21"/>
        </w:rPr>
        <w:t>*</w:t>
      </w:r>
      <w:r w:rsidR="007667A9" w:rsidRPr="00330E07">
        <w:rPr>
          <w:rFonts w:ascii="Times New Roman" w:hAnsi="Times New Roman" w:cs="Times New Roman"/>
          <w:w w:val="100"/>
          <w:sz w:val="21"/>
          <w:szCs w:val="21"/>
        </w:rPr>
        <w:t xml:space="preserve">) </w:t>
      </w:r>
      <w:r w:rsidR="008B6752" w:rsidRPr="00330E07">
        <w:rPr>
          <w:rFonts w:ascii="Times New Roman" w:hAnsi="Times New Roman" w:cs="Times New Roman"/>
          <w:w w:val="100"/>
          <w:sz w:val="21"/>
          <w:szCs w:val="21"/>
        </w:rPr>
        <w:t>med utgangspunkt i kapitalkostnaden for</w:t>
      </w:r>
      <w:r w:rsidRPr="00330E07">
        <w:rPr>
          <w:rFonts w:ascii="Times New Roman" w:hAnsi="Times New Roman" w:cs="Times New Roman"/>
          <w:w w:val="100"/>
          <w:sz w:val="21"/>
          <w:szCs w:val="21"/>
        </w:rPr>
        <w:t xml:space="preserve"> situasjon 3</w:t>
      </w:r>
      <w:r w:rsidR="007667A9" w:rsidRPr="00330E07">
        <w:rPr>
          <w:rFonts w:ascii="Times New Roman" w:hAnsi="Times New Roman" w:cs="Times New Roman"/>
          <w:w w:val="100"/>
          <w:sz w:val="21"/>
          <w:szCs w:val="21"/>
        </w:rPr>
        <w:t xml:space="preserve"> (</w:t>
      </w:r>
      <w:proofErr w:type="spellStart"/>
      <w:r w:rsidR="007667A9" w:rsidRPr="00330E07">
        <w:rPr>
          <w:rStyle w:val="Italic"/>
          <w:rFonts w:ascii="Times New Roman" w:hAnsi="Times New Roman" w:cs="Times New Roman"/>
          <w:w w:val="100"/>
          <w:sz w:val="21"/>
          <w:szCs w:val="21"/>
        </w:rPr>
        <w:t>r</w:t>
      </w:r>
      <w:r w:rsidR="007667A9" w:rsidRPr="00330E07">
        <w:rPr>
          <w:rStyle w:val="ItalicSubscript"/>
          <w:rFonts w:ascii="Times New Roman" w:hAnsi="Times New Roman" w:cs="Times New Roman"/>
          <w:w w:val="100"/>
          <w:sz w:val="21"/>
          <w:szCs w:val="21"/>
        </w:rPr>
        <w:t>TK</w:t>
      </w:r>
      <w:proofErr w:type="spellEnd"/>
      <w:r w:rsidR="007667A9" w:rsidRPr="00330E07">
        <w:rPr>
          <w:rFonts w:ascii="Times New Roman" w:hAnsi="Times New Roman" w:cs="Times New Roman"/>
          <w:w w:val="100"/>
          <w:sz w:val="21"/>
          <w:szCs w:val="21"/>
        </w:rPr>
        <w:t>)</w:t>
      </w:r>
      <w:r w:rsidRPr="00330E07">
        <w:rPr>
          <w:rFonts w:ascii="Times New Roman" w:hAnsi="Times New Roman" w:cs="Times New Roman"/>
          <w:w w:val="100"/>
          <w:sz w:val="21"/>
          <w:szCs w:val="21"/>
        </w:rPr>
        <w:t>.</w:t>
      </w:r>
    </w:p>
    <w:p w14:paraId="1F91857B" w14:textId="77777777" w:rsidR="00330E07" w:rsidRPr="00330E07" w:rsidRDefault="00330E07" w:rsidP="00330E07">
      <w:pPr>
        <w:pStyle w:val="b1fb1"/>
        <w:ind w:firstLine="0"/>
        <w:rPr>
          <w:rFonts w:ascii="Times New Roman" w:hAnsi="Times New Roman" w:cs="Times New Roman"/>
          <w:w w:val="100"/>
          <w:sz w:val="21"/>
          <w:szCs w:val="21"/>
        </w:rPr>
      </w:pPr>
      <w:bookmarkStart w:id="0" w:name="_GoBack"/>
      <w:bookmarkEnd w:id="0"/>
    </w:p>
    <w:p w14:paraId="1BF20B1E" w14:textId="6AD8397B" w:rsidR="00C929CF" w:rsidRPr="00330E07" w:rsidRDefault="00C929CF" w:rsidP="00C929CF">
      <w:pPr>
        <w:pStyle w:val="b1fb1"/>
        <w:ind w:firstLine="0"/>
        <w:rPr>
          <w:rFonts w:ascii="Times New Roman" w:hAnsi="Times New Roman" w:cs="Times New Roman"/>
          <w:w w:val="100"/>
          <w:sz w:val="21"/>
          <w:szCs w:val="21"/>
        </w:rPr>
      </w:pPr>
      <w:r w:rsidRPr="00330E07">
        <w:rPr>
          <w:rFonts w:ascii="Times New Roman" w:hAnsi="Times New Roman" w:cs="Times New Roman"/>
          <w:w w:val="100"/>
          <w:sz w:val="21"/>
          <w:szCs w:val="21"/>
        </w:rPr>
        <w:t>Det finnes ingen enkel måte å omregne på som samtidig er helt korrekt. Følgende tilnærmede omregningsformel er imidlertid enkel å bruke</w:t>
      </w:r>
      <w:r w:rsidR="007667A9" w:rsidRPr="00330E07">
        <w:rPr>
          <w:rFonts w:ascii="Times New Roman" w:hAnsi="Times New Roman" w:cs="Times New Roman"/>
          <w:w w:val="100"/>
          <w:sz w:val="21"/>
          <w:szCs w:val="21"/>
        </w:rPr>
        <w:t xml:space="preserve"> ut</w:t>
      </w:r>
      <w:r w:rsidR="00181F7C" w:rsidRPr="00330E07">
        <w:rPr>
          <w:rFonts w:ascii="Times New Roman" w:hAnsi="Times New Roman" w:cs="Times New Roman"/>
          <w:w w:val="100"/>
          <w:sz w:val="21"/>
          <w:szCs w:val="21"/>
        </w:rPr>
        <w:t xml:space="preserve"> </w:t>
      </w:r>
      <w:r w:rsidR="007667A9" w:rsidRPr="00330E07">
        <w:rPr>
          <w:rFonts w:ascii="Times New Roman" w:hAnsi="Times New Roman" w:cs="Times New Roman"/>
          <w:w w:val="100"/>
          <w:sz w:val="21"/>
          <w:szCs w:val="21"/>
        </w:rPr>
        <w:t>fra det du allerede har lært:</w:t>
      </w:r>
    </w:p>
    <w:p w14:paraId="2FA147C7" w14:textId="125CD829" w:rsidR="00C929CF" w:rsidRPr="00330E07" w:rsidRDefault="00C929CF" w:rsidP="00C929CF">
      <w:pPr>
        <w:pStyle w:val="formel"/>
        <w:spacing w:before="120" w:after="120"/>
        <w:rPr>
          <w:rFonts w:ascii="Times New Roman" w:hAnsi="Times New Roman" w:cs="Times New Roman"/>
          <w:w w:val="100"/>
          <w:sz w:val="21"/>
          <w:szCs w:val="21"/>
        </w:rPr>
      </w:pPr>
      <w:r w:rsidRPr="00330E07">
        <w:rPr>
          <w:rFonts w:ascii="Times New Roman" w:hAnsi="Times New Roman" w:cs="Times New Roman"/>
          <w:w w:val="100"/>
          <w:sz w:val="21"/>
          <w:szCs w:val="21"/>
        </w:rPr>
        <w:t>(8.</w:t>
      </w:r>
      <w:r w:rsidR="0019566A" w:rsidRPr="00330E07">
        <w:rPr>
          <w:rFonts w:ascii="Times New Roman" w:hAnsi="Times New Roman" w:cs="Times New Roman"/>
          <w:w w:val="100"/>
          <w:sz w:val="21"/>
          <w:szCs w:val="21"/>
        </w:rPr>
        <w:t>N.1</w:t>
      </w:r>
      <w:r w:rsidRPr="00330E07">
        <w:rPr>
          <w:rFonts w:ascii="Times New Roman" w:hAnsi="Times New Roman" w:cs="Times New Roman"/>
          <w:w w:val="100"/>
          <w:sz w:val="21"/>
          <w:szCs w:val="21"/>
        </w:rPr>
        <w:t>)</w:t>
      </w:r>
      <w:r w:rsidRPr="00330E07">
        <w:rPr>
          <w:rFonts w:ascii="Times New Roman" w:hAnsi="Times New Roman" w:cs="Times New Roman"/>
          <w:w w:val="100"/>
          <w:sz w:val="21"/>
          <w:szCs w:val="21"/>
        </w:rPr>
        <w:tab/>
      </w:r>
      <w:r w:rsidR="00E4505F" w:rsidRPr="00330E07">
        <w:rPr>
          <w:rFonts w:ascii="Times New Roman" w:hAnsi="Times New Roman" w:cs="Times New Roman"/>
          <w:position w:val="-26"/>
          <w:sz w:val="21"/>
          <w:szCs w:val="21"/>
        </w:rPr>
        <w:object w:dxaOrig="1700" w:dyaOrig="940" w14:anchorId="132A78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47.25pt" o:ole="">
            <v:imagedata r:id="rId7" o:title=""/>
          </v:shape>
          <o:OLEObject Type="Embed" ProgID="Equation.DSMT4" ShapeID="_x0000_i1025" DrawAspect="Content" ObjectID="_1509874571" r:id="rId8"/>
        </w:object>
      </w:r>
    </w:p>
    <w:p w14:paraId="594B7AE1" w14:textId="0A1F7B4A" w:rsidR="00C929CF" w:rsidRPr="00330E07" w:rsidRDefault="00C929CF" w:rsidP="00C929CF">
      <w:pPr>
        <w:pStyle w:val="b1ffb1f"/>
        <w:spacing w:before="120"/>
        <w:rPr>
          <w:rFonts w:ascii="Times New Roman" w:hAnsi="Times New Roman" w:cs="Times New Roman"/>
          <w:w w:val="100"/>
          <w:sz w:val="21"/>
          <w:szCs w:val="21"/>
        </w:rPr>
      </w:pPr>
      <w:r w:rsidRPr="00330E07">
        <w:rPr>
          <w:rFonts w:ascii="Times New Roman" w:hAnsi="Times New Roman" w:cs="Times New Roman"/>
          <w:w w:val="100"/>
          <w:sz w:val="21"/>
          <w:szCs w:val="21"/>
        </w:rPr>
        <w:t xml:space="preserve">Her er </w:t>
      </w:r>
      <w:r w:rsidRPr="00330E07">
        <w:rPr>
          <w:rStyle w:val="Italic"/>
          <w:rFonts w:ascii="Times New Roman" w:hAnsi="Times New Roman" w:cs="Times New Roman"/>
          <w:w w:val="100"/>
          <w:sz w:val="21"/>
          <w:szCs w:val="21"/>
        </w:rPr>
        <w:t>s</w:t>
      </w:r>
      <w:r w:rsidRPr="00330E07">
        <w:rPr>
          <w:rFonts w:ascii="Times New Roman" w:hAnsi="Times New Roman" w:cs="Times New Roman"/>
          <w:w w:val="100"/>
          <w:sz w:val="21"/>
          <w:szCs w:val="21"/>
        </w:rPr>
        <w:t xml:space="preserve"> selskapets skattesats, og </w:t>
      </w:r>
      <w:r w:rsidRPr="00330E07">
        <w:rPr>
          <w:rStyle w:val="Italic"/>
          <w:rFonts w:ascii="Times New Roman" w:hAnsi="Times New Roman" w:cs="Times New Roman"/>
          <w:w w:val="100"/>
          <w:sz w:val="21"/>
          <w:szCs w:val="21"/>
        </w:rPr>
        <w:t>j</w:t>
      </w:r>
      <w:r w:rsidRPr="00330E07">
        <w:rPr>
          <w:rFonts w:ascii="Times New Roman" w:hAnsi="Times New Roman" w:cs="Times New Roman"/>
          <w:w w:val="100"/>
          <w:sz w:val="21"/>
          <w:szCs w:val="21"/>
        </w:rPr>
        <w:t xml:space="preserve"> er forventet prisstigning. Int</w:t>
      </w:r>
      <w:r w:rsidR="0019566A" w:rsidRPr="00330E07">
        <w:rPr>
          <w:rFonts w:ascii="Times New Roman" w:hAnsi="Times New Roman" w:cs="Times New Roman"/>
          <w:w w:val="100"/>
          <w:sz w:val="21"/>
          <w:szCs w:val="21"/>
        </w:rPr>
        <w:t>uisjonen i (8.N.1</w:t>
      </w:r>
      <w:r w:rsidRPr="00330E07">
        <w:rPr>
          <w:rFonts w:ascii="Times New Roman" w:hAnsi="Times New Roman" w:cs="Times New Roman"/>
          <w:w w:val="100"/>
          <w:sz w:val="21"/>
          <w:szCs w:val="21"/>
        </w:rPr>
        <w:t xml:space="preserve">) er slik: </w:t>
      </w:r>
    </w:p>
    <w:p w14:paraId="3FB5DE8F" w14:textId="13FA71E1" w:rsidR="00C929CF" w:rsidRPr="00330E07" w:rsidRDefault="00C929CF" w:rsidP="00C929CF">
      <w:pPr>
        <w:pStyle w:val="b1ffb1f"/>
        <w:numPr>
          <w:ilvl w:val="0"/>
          <w:numId w:val="1"/>
        </w:numPr>
        <w:spacing w:before="120"/>
        <w:rPr>
          <w:rFonts w:ascii="Times New Roman" w:hAnsi="Times New Roman" w:cs="Times New Roman"/>
          <w:w w:val="100"/>
          <w:sz w:val="21"/>
          <w:szCs w:val="21"/>
        </w:rPr>
      </w:pPr>
      <w:r w:rsidRPr="00330E07">
        <w:rPr>
          <w:rFonts w:ascii="Times New Roman" w:hAnsi="Times New Roman" w:cs="Times New Roman"/>
          <w:w w:val="100"/>
          <w:sz w:val="21"/>
          <w:szCs w:val="21"/>
        </w:rPr>
        <w:t xml:space="preserve">Først omregner du fra den nominelle kapitalkostnaden etter skatt til den nominelle kapitalkostnaden før skatt. Dette skjer i leddet </w:t>
      </w:r>
      <w:proofErr w:type="spellStart"/>
      <w:r w:rsidRPr="00330E07">
        <w:rPr>
          <w:rFonts w:ascii="Times New Roman" w:hAnsi="Times New Roman" w:cs="Times New Roman"/>
          <w:w w:val="100"/>
          <w:sz w:val="21"/>
          <w:szCs w:val="21"/>
        </w:rPr>
        <w:t>r</w:t>
      </w:r>
      <w:r w:rsidRPr="00330E07">
        <w:rPr>
          <w:rStyle w:val="Subscript"/>
          <w:rFonts w:ascii="Times New Roman" w:hAnsi="Times New Roman" w:cs="Times New Roman"/>
          <w:w w:val="100"/>
          <w:sz w:val="21"/>
          <w:szCs w:val="21"/>
        </w:rPr>
        <w:t>T</w:t>
      </w:r>
      <w:r w:rsidR="002609AA" w:rsidRPr="00330E07">
        <w:rPr>
          <w:rStyle w:val="Subscript"/>
          <w:rFonts w:ascii="Times New Roman" w:hAnsi="Times New Roman" w:cs="Times New Roman"/>
          <w:w w:val="100"/>
          <w:sz w:val="21"/>
          <w:szCs w:val="21"/>
        </w:rPr>
        <w:t>K</w:t>
      </w:r>
      <w:proofErr w:type="spellEnd"/>
      <w:r w:rsidRPr="00330E07">
        <w:rPr>
          <w:rFonts w:ascii="Times New Roman" w:hAnsi="Times New Roman" w:cs="Times New Roman"/>
          <w:w w:val="100"/>
          <w:sz w:val="21"/>
          <w:szCs w:val="21"/>
        </w:rPr>
        <w:t xml:space="preserve">/(1 – s). </w:t>
      </w:r>
    </w:p>
    <w:p w14:paraId="3F27DF1A" w14:textId="45648330" w:rsidR="00C929CF" w:rsidRPr="00330E07" w:rsidRDefault="007667A9" w:rsidP="00C929CF">
      <w:pPr>
        <w:pStyle w:val="b1ffb1f"/>
        <w:numPr>
          <w:ilvl w:val="0"/>
          <w:numId w:val="1"/>
        </w:numPr>
        <w:spacing w:before="120"/>
        <w:rPr>
          <w:rFonts w:ascii="Times New Roman" w:hAnsi="Times New Roman" w:cs="Times New Roman"/>
          <w:w w:val="100"/>
          <w:sz w:val="21"/>
          <w:szCs w:val="21"/>
        </w:rPr>
      </w:pPr>
      <w:r w:rsidRPr="00330E07">
        <w:rPr>
          <w:rFonts w:ascii="Times New Roman" w:hAnsi="Times New Roman" w:cs="Times New Roman"/>
          <w:w w:val="100"/>
          <w:sz w:val="21"/>
          <w:szCs w:val="21"/>
        </w:rPr>
        <w:t>Deretter deflaterer du</w:t>
      </w:r>
      <w:r w:rsidR="00C929CF" w:rsidRPr="00330E07">
        <w:rPr>
          <w:rFonts w:ascii="Times New Roman" w:hAnsi="Times New Roman" w:cs="Times New Roman"/>
          <w:w w:val="100"/>
          <w:sz w:val="21"/>
          <w:szCs w:val="21"/>
        </w:rPr>
        <w:t xml:space="preserve"> denne nominelle </w:t>
      </w:r>
      <w:r w:rsidRPr="00330E07">
        <w:rPr>
          <w:rFonts w:ascii="Times New Roman" w:hAnsi="Times New Roman" w:cs="Times New Roman"/>
          <w:w w:val="100"/>
          <w:sz w:val="21"/>
          <w:szCs w:val="21"/>
        </w:rPr>
        <w:t>kapital</w:t>
      </w:r>
      <w:r w:rsidR="00C929CF" w:rsidRPr="00330E07">
        <w:rPr>
          <w:rFonts w:ascii="Times New Roman" w:hAnsi="Times New Roman" w:cs="Times New Roman"/>
          <w:w w:val="100"/>
          <w:sz w:val="21"/>
          <w:szCs w:val="21"/>
        </w:rPr>
        <w:t>kostnaden før skatt til en re</w:t>
      </w:r>
      <w:r w:rsidRPr="00330E07">
        <w:rPr>
          <w:rFonts w:ascii="Times New Roman" w:hAnsi="Times New Roman" w:cs="Times New Roman"/>
          <w:w w:val="100"/>
          <w:sz w:val="21"/>
          <w:szCs w:val="21"/>
        </w:rPr>
        <w:t>ell kapitalkostnad før skatt. Da bruker du</w:t>
      </w:r>
      <w:r w:rsidR="00C929CF" w:rsidRPr="00330E07">
        <w:rPr>
          <w:rFonts w:ascii="Times New Roman" w:hAnsi="Times New Roman" w:cs="Times New Roman"/>
          <w:w w:val="100"/>
          <w:sz w:val="21"/>
          <w:szCs w:val="21"/>
        </w:rPr>
        <w:t xml:space="preserve"> akkurat samme metode som du lærte første gang i (3.20): Trekk fra årlig inflasjon og divider differansen med 1 + årlig inflasjon.</w:t>
      </w:r>
    </w:p>
    <w:p w14:paraId="77A6C966" w14:textId="77777777" w:rsidR="00C929CF" w:rsidRPr="00330E07" w:rsidRDefault="00C929CF" w:rsidP="00C929CF">
      <w:pPr>
        <w:pStyle w:val="b1fb1"/>
        <w:rPr>
          <w:rFonts w:ascii="Times New Roman" w:hAnsi="Times New Roman" w:cs="Times New Roman"/>
          <w:sz w:val="21"/>
          <w:szCs w:val="21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000000" w:fill="auto"/>
        <w:tblCellMar>
          <w:top w:w="240" w:type="dxa"/>
          <w:left w:w="240" w:type="dxa"/>
          <w:bottom w:w="160" w:type="dxa"/>
          <w:right w:w="240" w:type="dxa"/>
        </w:tblCellMar>
        <w:tblLook w:val="0000" w:firstRow="0" w:lastRow="0" w:firstColumn="0" w:lastColumn="0" w:noHBand="0" w:noVBand="0"/>
      </w:tblPr>
      <w:tblGrid>
        <w:gridCol w:w="9552"/>
      </w:tblGrid>
      <w:tr w:rsidR="00C929CF" w:rsidRPr="00330E07" w14:paraId="32CB48E1" w14:textId="77777777" w:rsidTr="00B209A0">
        <w:tc>
          <w:tcPr>
            <w:tcW w:w="5000" w:type="pct"/>
            <w:shd w:val="clear" w:color="000000" w:fill="auto"/>
            <w:tcMar>
              <w:top w:w="160" w:type="dxa"/>
              <w:left w:w="240" w:type="dxa"/>
              <w:bottom w:w="80" w:type="dxa"/>
              <w:right w:w="240" w:type="dxa"/>
            </w:tcMar>
          </w:tcPr>
          <w:p w14:paraId="54894FE8" w14:textId="6455A62F" w:rsidR="00C929CF" w:rsidRPr="00330E07" w:rsidRDefault="00E4505F" w:rsidP="00B209A0">
            <w:pPr>
              <w:pStyle w:val="a1tfa1t"/>
              <w:rPr>
                <w:rFonts w:ascii="Times New Roman" w:hAnsi="Times New Roman" w:cs="Times New Roman"/>
                <w:sz w:val="21"/>
                <w:szCs w:val="21"/>
              </w:rPr>
            </w:pPr>
            <w:r w:rsidRPr="00330E07">
              <w:rPr>
                <w:rFonts w:ascii="Times New Roman" w:hAnsi="Times New Roman" w:cs="Times New Roman"/>
                <w:spacing w:val="10"/>
                <w:w w:val="100"/>
                <w:sz w:val="21"/>
                <w:szCs w:val="21"/>
              </w:rPr>
              <w:t>Eksempel 8.N.1</w:t>
            </w:r>
          </w:p>
        </w:tc>
      </w:tr>
      <w:tr w:rsidR="00C929CF" w:rsidRPr="00330E07" w14:paraId="086A1869" w14:textId="77777777" w:rsidTr="00B209A0">
        <w:tc>
          <w:tcPr>
            <w:tcW w:w="5000" w:type="pct"/>
            <w:shd w:val="clear" w:color="000000" w:fill="auto"/>
            <w:tcMar>
              <w:top w:w="240" w:type="dxa"/>
              <w:left w:w="240" w:type="dxa"/>
              <w:bottom w:w="160" w:type="dxa"/>
              <w:right w:w="240" w:type="dxa"/>
            </w:tcMar>
          </w:tcPr>
          <w:p w14:paraId="3BB7B229" w14:textId="0A9AB380" w:rsidR="00C929CF" w:rsidRPr="00330E07" w:rsidRDefault="00C929CF" w:rsidP="00B209A0">
            <w:pPr>
              <w:pStyle w:val="a1f-fa1f-"/>
              <w:rPr>
                <w:rFonts w:ascii="Times New Roman" w:hAnsi="Times New Roman" w:cs="Times New Roman"/>
                <w:w w:val="100"/>
                <w:sz w:val="21"/>
                <w:szCs w:val="21"/>
              </w:rPr>
            </w:pPr>
            <w:r w:rsidRPr="00330E07">
              <w:rPr>
                <w:rFonts w:ascii="Times New Roman" w:hAnsi="Times New Roman" w:cs="Times New Roman"/>
                <w:w w:val="100"/>
                <w:sz w:val="21"/>
                <w:szCs w:val="21"/>
              </w:rPr>
              <w:t>Du jobber som prosjektanalytiker i et selskap. Basert på risikoen i selskapets egenkapital og gjeld har du tidligere beregnet kostnad for egenkapital i (8.4) og gjeld i (7.13). Disse to tallene har du i sin tur brukt til å beregne en nominell totalkapitalkostnad ette</w:t>
            </w:r>
            <w:r w:rsidR="00594303" w:rsidRPr="00330E07">
              <w:rPr>
                <w:rFonts w:ascii="Times New Roman" w:hAnsi="Times New Roman" w:cs="Times New Roman"/>
                <w:w w:val="100"/>
                <w:sz w:val="21"/>
                <w:szCs w:val="21"/>
              </w:rPr>
              <w:t>r skatt på 7 % ved hjelp av (8.6</w:t>
            </w:r>
            <w:r w:rsidRPr="00330E07">
              <w:rPr>
                <w:rFonts w:ascii="Times New Roman" w:hAnsi="Times New Roman" w:cs="Times New Roman"/>
                <w:w w:val="100"/>
                <w:sz w:val="21"/>
                <w:szCs w:val="21"/>
              </w:rPr>
              <w:t>). I disse beregningene ble det forutsatt 2,5 % inflasjon og 27 % skatt.</w:t>
            </w:r>
          </w:p>
          <w:p w14:paraId="113AA13E" w14:textId="7FF11DC2" w:rsidR="00C929CF" w:rsidRPr="00330E07" w:rsidRDefault="00C929CF" w:rsidP="00B209A0">
            <w:pPr>
              <w:pStyle w:val="a1fa1"/>
              <w:rPr>
                <w:rFonts w:ascii="Times New Roman" w:hAnsi="Times New Roman" w:cs="Times New Roman"/>
                <w:w w:val="100"/>
                <w:sz w:val="21"/>
                <w:szCs w:val="21"/>
              </w:rPr>
            </w:pPr>
            <w:r w:rsidRPr="00330E07">
              <w:rPr>
                <w:rFonts w:ascii="Times New Roman" w:hAnsi="Times New Roman" w:cs="Times New Roman"/>
                <w:w w:val="100"/>
                <w:sz w:val="21"/>
                <w:szCs w:val="21"/>
              </w:rPr>
              <w:t xml:space="preserve">Du trenger nå å gjøre en rask grovanalyse av et nytt prosjektforslag, og du ønsker å bruke den allerede beregnede kapitalkostnaden på 7 % også i det nye prosjektet. </w:t>
            </w:r>
            <w:r w:rsidR="007667A9" w:rsidRPr="00330E07">
              <w:rPr>
                <w:rFonts w:ascii="Times New Roman" w:hAnsi="Times New Roman" w:cs="Times New Roman"/>
                <w:w w:val="100"/>
                <w:sz w:val="21"/>
                <w:szCs w:val="21"/>
              </w:rPr>
              <w:t xml:space="preserve">Siden dette bare er en grovanalyse, har du imidlertid bare beregnet reell totalkapitalstrøm før skatt. Derfor må du først omregne kapitalkostnaden </w:t>
            </w:r>
            <w:r w:rsidRPr="00330E07">
              <w:rPr>
                <w:rFonts w:ascii="Times New Roman" w:hAnsi="Times New Roman" w:cs="Times New Roman"/>
                <w:w w:val="100"/>
                <w:sz w:val="21"/>
                <w:szCs w:val="21"/>
              </w:rPr>
              <w:t>fra etter skatt til før skatt (da øker kapitalkostnaden) og fra nominell til reell (da synker kapitalkostnaden). Beg</w:t>
            </w:r>
            <w:r w:rsidR="00E4505F" w:rsidRPr="00330E07">
              <w:rPr>
                <w:rFonts w:ascii="Times New Roman" w:hAnsi="Times New Roman" w:cs="Times New Roman"/>
                <w:w w:val="100"/>
                <w:sz w:val="21"/>
                <w:szCs w:val="21"/>
              </w:rPr>
              <w:t>ge operasjonene utføres med (8.N.1</w:t>
            </w:r>
            <w:r w:rsidRPr="00330E07">
              <w:rPr>
                <w:rFonts w:ascii="Times New Roman" w:hAnsi="Times New Roman" w:cs="Times New Roman"/>
                <w:w w:val="100"/>
                <w:sz w:val="21"/>
                <w:szCs w:val="21"/>
              </w:rPr>
              <w:t>):</w:t>
            </w:r>
          </w:p>
          <w:p w14:paraId="49C79348" w14:textId="7FE8F951" w:rsidR="00C929CF" w:rsidRPr="00330E07" w:rsidRDefault="00E4505F" w:rsidP="00330E07">
            <w:pPr>
              <w:pStyle w:val="komm1af-f"/>
              <w:rPr>
                <w:sz w:val="21"/>
                <w:szCs w:val="21"/>
              </w:rPr>
            </w:pPr>
            <w:r w:rsidRPr="00330E07">
              <w:rPr>
                <w:position w:val="-54"/>
                <w:sz w:val="21"/>
                <w:szCs w:val="21"/>
              </w:rPr>
              <w:object w:dxaOrig="1939" w:dyaOrig="1180" w14:anchorId="5F6E2F55">
                <v:shape id="_x0000_i1026" type="#_x0000_t75" style="width:97.5pt;height:58.5pt" o:ole="">
                  <v:imagedata r:id="rId9" o:title=""/>
                </v:shape>
                <o:OLEObject Type="Embed" ProgID="Equation.DSMT4" ShapeID="_x0000_i1026" DrawAspect="Content" ObjectID="_1509874572" r:id="rId10"/>
              </w:object>
            </w:r>
          </w:p>
        </w:tc>
      </w:tr>
      <w:tr w:rsidR="00C929CF" w:rsidRPr="00330E07" w14:paraId="05B27C85" w14:textId="77777777" w:rsidTr="00B209A0">
        <w:tc>
          <w:tcPr>
            <w:tcW w:w="5000" w:type="pct"/>
            <w:shd w:val="clear" w:color="000000" w:fill="auto"/>
            <w:tcMar>
              <w:top w:w="120" w:type="dxa"/>
              <w:left w:w="240" w:type="dxa"/>
              <w:bottom w:w="160" w:type="dxa"/>
              <w:right w:w="240" w:type="dxa"/>
            </w:tcMar>
          </w:tcPr>
          <w:p w14:paraId="69373328" w14:textId="77777777" w:rsidR="00C929CF" w:rsidRPr="00330E07" w:rsidRDefault="00C929CF" w:rsidP="00B209A0">
            <w:pPr>
              <w:pStyle w:val="a1ffa1f"/>
              <w:rPr>
                <w:rFonts w:ascii="Times New Roman" w:hAnsi="Times New Roman" w:cs="Times New Roman"/>
                <w:sz w:val="21"/>
                <w:szCs w:val="21"/>
              </w:rPr>
            </w:pPr>
            <w:r w:rsidRPr="00330E07">
              <w:rPr>
                <w:rFonts w:ascii="Times New Roman" w:hAnsi="Times New Roman" w:cs="Times New Roman"/>
                <w:w w:val="100"/>
                <w:sz w:val="21"/>
                <w:szCs w:val="21"/>
              </w:rPr>
              <w:t>En nominell totalkapitalkostnad etter skatt på 7 % er altså forenlig med en reell totalkapitalkostnad før skatt på 7 %. I dette eksemplet blir altså skatteeffekten nøytralisert av deflateringseffekten.</w:t>
            </w:r>
          </w:p>
        </w:tc>
      </w:tr>
    </w:tbl>
    <w:p w14:paraId="2B5FBEE1" w14:textId="77777777" w:rsidR="0019388A" w:rsidRPr="00330E07" w:rsidRDefault="0019388A" w:rsidP="00330E07">
      <w:pPr>
        <w:rPr>
          <w:sz w:val="4"/>
          <w:szCs w:val="4"/>
        </w:rPr>
      </w:pPr>
    </w:p>
    <w:sectPr w:rsidR="0019388A" w:rsidRPr="0033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ievi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isSemiSans Extra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Semi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ievit-Medium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2283"/>
    <w:multiLevelType w:val="hybridMultilevel"/>
    <w:tmpl w:val="65A4CE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D4BAB"/>
    <w:multiLevelType w:val="hybridMultilevel"/>
    <w:tmpl w:val="6BD441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CF"/>
    <w:rsid w:val="00110E3C"/>
    <w:rsid w:val="00181F7C"/>
    <w:rsid w:val="0019388A"/>
    <w:rsid w:val="0019566A"/>
    <w:rsid w:val="002047C6"/>
    <w:rsid w:val="002609AA"/>
    <w:rsid w:val="00330E07"/>
    <w:rsid w:val="003C6B99"/>
    <w:rsid w:val="00490E45"/>
    <w:rsid w:val="004B7540"/>
    <w:rsid w:val="004D5285"/>
    <w:rsid w:val="004F4B56"/>
    <w:rsid w:val="00594303"/>
    <w:rsid w:val="005C58C3"/>
    <w:rsid w:val="00677CAA"/>
    <w:rsid w:val="00692B18"/>
    <w:rsid w:val="006E4590"/>
    <w:rsid w:val="007667A9"/>
    <w:rsid w:val="008B6752"/>
    <w:rsid w:val="00C20743"/>
    <w:rsid w:val="00C929CF"/>
    <w:rsid w:val="00E4505F"/>
    <w:rsid w:val="00EC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049E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92B18"/>
    <w:pPr>
      <w:ind w:left="720"/>
      <w:contextualSpacing/>
    </w:pPr>
  </w:style>
  <w:style w:type="paragraph" w:customStyle="1" w:styleId="komm1af-f">
    <w:name w:val="komm1af-_f"/>
    <w:basedOn w:val="komm1aff"/>
    <w:next w:val="Normal"/>
    <w:rsid w:val="00C929CF"/>
    <w:pPr>
      <w:spacing w:before="0"/>
    </w:pPr>
  </w:style>
  <w:style w:type="paragraph" w:customStyle="1" w:styleId="komm1aff">
    <w:name w:val="komm1af_f"/>
    <w:basedOn w:val="Normal"/>
    <w:next w:val="Normal"/>
    <w:rsid w:val="00C929CF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160" w:after="0" w:line="300" w:lineRule="atLeast"/>
    </w:pPr>
    <w:rPr>
      <w:color w:val="DA0000"/>
      <w:sz w:val="22"/>
      <w:lang w:val="nb-NO"/>
    </w:rPr>
  </w:style>
  <w:style w:type="character" w:styleId="Merknadsreferanse">
    <w:name w:val="annotation reference"/>
    <w:uiPriority w:val="99"/>
    <w:rsid w:val="00C929C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C929CF"/>
    <w:rPr>
      <w:sz w:val="20"/>
      <w:szCs w:val="20"/>
      <w:lang w:val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929C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1fb1">
    <w:name w:val="b1 [f/b1/]"/>
    <w:uiPriority w:val="99"/>
    <w:rsid w:val="00C929CF"/>
    <w:pPr>
      <w:tabs>
        <w:tab w:val="left" w:pos="680"/>
        <w:tab w:val="left" w:pos="1020"/>
        <w:tab w:val="left" w:pos="1360"/>
        <w:tab w:val="left" w:pos="1700"/>
        <w:tab w:val="left" w:pos="2040"/>
        <w:tab w:val="left" w:pos="2380"/>
        <w:tab w:val="left" w:pos="2720"/>
        <w:tab w:val="left" w:pos="3060"/>
        <w:tab w:val="left" w:pos="3400"/>
        <w:tab w:val="left" w:pos="3740"/>
        <w:tab w:val="left" w:pos="4080"/>
        <w:tab w:val="left" w:pos="4420"/>
        <w:tab w:val="left" w:pos="4760"/>
        <w:tab w:val="left" w:pos="5100"/>
        <w:tab w:val="left" w:pos="5440"/>
        <w:tab w:val="left" w:pos="5780"/>
        <w:tab w:val="left" w:pos="6120"/>
        <w:tab w:val="left" w:pos="6460"/>
        <w:tab w:val="left" w:pos="6800"/>
      </w:tabs>
      <w:autoSpaceDE w:val="0"/>
      <w:autoSpaceDN w:val="0"/>
      <w:adjustRightInd w:val="0"/>
      <w:spacing w:after="0" w:line="260" w:lineRule="atLeast"/>
      <w:ind w:firstLine="340"/>
      <w:jc w:val="both"/>
    </w:pPr>
    <w:rPr>
      <w:rFonts w:ascii="Minion" w:hAnsi="Minion" w:cs="Minion"/>
      <w:color w:val="000000"/>
      <w:w w:val="0"/>
      <w:sz w:val="20"/>
      <w:szCs w:val="20"/>
      <w:lang w:eastAsia="nb-NO" w:bidi="he-IL"/>
    </w:rPr>
  </w:style>
  <w:style w:type="paragraph" w:customStyle="1" w:styleId="b1ffb1f">
    <w:name w:val="b1f [f/b1/f]"/>
    <w:next w:val="b1fb1"/>
    <w:uiPriority w:val="99"/>
    <w:rsid w:val="00C929CF"/>
    <w:pPr>
      <w:tabs>
        <w:tab w:val="left" w:pos="340"/>
        <w:tab w:val="left" w:pos="680"/>
        <w:tab w:val="left" w:pos="1020"/>
        <w:tab w:val="left" w:pos="1360"/>
        <w:tab w:val="left" w:pos="1700"/>
        <w:tab w:val="left" w:pos="2040"/>
        <w:tab w:val="left" w:pos="2380"/>
        <w:tab w:val="left" w:pos="2720"/>
        <w:tab w:val="left" w:pos="3060"/>
        <w:tab w:val="left" w:pos="3400"/>
        <w:tab w:val="left" w:pos="3740"/>
        <w:tab w:val="left" w:pos="4080"/>
        <w:tab w:val="left" w:pos="4420"/>
        <w:tab w:val="left" w:pos="4760"/>
        <w:tab w:val="left" w:pos="5100"/>
        <w:tab w:val="left" w:pos="5440"/>
        <w:tab w:val="left" w:pos="5780"/>
        <w:tab w:val="left" w:pos="6120"/>
        <w:tab w:val="left" w:pos="6460"/>
        <w:tab w:val="left" w:pos="6800"/>
      </w:tabs>
      <w:autoSpaceDE w:val="0"/>
      <w:autoSpaceDN w:val="0"/>
      <w:adjustRightInd w:val="0"/>
      <w:spacing w:before="280" w:after="0" w:line="260" w:lineRule="atLeast"/>
      <w:jc w:val="both"/>
    </w:pPr>
    <w:rPr>
      <w:rFonts w:ascii="Minion" w:hAnsi="Minion" w:cs="Minion"/>
      <w:color w:val="000000"/>
      <w:w w:val="0"/>
      <w:sz w:val="20"/>
      <w:szCs w:val="20"/>
      <w:lang w:eastAsia="nb-NO" w:bidi="he-IL"/>
    </w:rPr>
  </w:style>
  <w:style w:type="paragraph" w:customStyle="1" w:styleId="a1fa1">
    <w:name w:val="a1 [f/a1/]"/>
    <w:uiPriority w:val="99"/>
    <w:rsid w:val="00C929CF"/>
    <w:pPr>
      <w:tabs>
        <w:tab w:val="left" w:pos="680"/>
        <w:tab w:val="left" w:pos="1020"/>
        <w:tab w:val="left" w:pos="1360"/>
        <w:tab w:val="left" w:pos="1700"/>
        <w:tab w:val="left" w:pos="2040"/>
        <w:tab w:val="left" w:pos="2380"/>
        <w:tab w:val="left" w:pos="2720"/>
        <w:tab w:val="left" w:pos="3060"/>
        <w:tab w:val="left" w:pos="3400"/>
        <w:tab w:val="left" w:pos="3740"/>
        <w:tab w:val="left" w:pos="4080"/>
        <w:tab w:val="left" w:pos="4420"/>
        <w:tab w:val="left" w:pos="4760"/>
        <w:tab w:val="left" w:pos="5100"/>
        <w:tab w:val="left" w:pos="5440"/>
        <w:tab w:val="left" w:pos="5780"/>
        <w:tab w:val="left" w:pos="6120"/>
        <w:tab w:val="left" w:pos="6460"/>
        <w:tab w:val="left" w:pos="6800"/>
      </w:tabs>
      <w:autoSpaceDE w:val="0"/>
      <w:autoSpaceDN w:val="0"/>
      <w:adjustRightInd w:val="0"/>
      <w:spacing w:after="0" w:line="260" w:lineRule="atLeast"/>
      <w:ind w:firstLine="340"/>
      <w:jc w:val="both"/>
    </w:pPr>
    <w:rPr>
      <w:rFonts w:ascii="Kievit" w:hAnsi="Kievit" w:cs="Kievit"/>
      <w:color w:val="000000"/>
      <w:w w:val="0"/>
      <w:sz w:val="18"/>
      <w:szCs w:val="18"/>
      <w:lang w:eastAsia="nb-NO" w:bidi="he-IL"/>
    </w:rPr>
  </w:style>
  <w:style w:type="paragraph" w:customStyle="1" w:styleId="a1f-fa1f-">
    <w:name w:val="a1f- [f/a1/f-]"/>
    <w:next w:val="a1fa1"/>
    <w:uiPriority w:val="99"/>
    <w:rsid w:val="00C929CF"/>
    <w:pPr>
      <w:tabs>
        <w:tab w:val="left" w:pos="340"/>
        <w:tab w:val="left" w:pos="680"/>
        <w:tab w:val="left" w:pos="1020"/>
        <w:tab w:val="left" w:pos="1360"/>
        <w:tab w:val="left" w:pos="1700"/>
        <w:tab w:val="left" w:pos="2040"/>
        <w:tab w:val="left" w:pos="2380"/>
        <w:tab w:val="left" w:pos="2720"/>
        <w:tab w:val="left" w:pos="3060"/>
        <w:tab w:val="left" w:pos="3400"/>
        <w:tab w:val="left" w:pos="3740"/>
        <w:tab w:val="left" w:pos="4080"/>
        <w:tab w:val="left" w:pos="4420"/>
        <w:tab w:val="left" w:pos="4760"/>
        <w:tab w:val="left" w:pos="5100"/>
        <w:tab w:val="left" w:pos="5440"/>
        <w:tab w:val="left" w:pos="5780"/>
        <w:tab w:val="left" w:pos="6120"/>
        <w:tab w:val="left" w:pos="6460"/>
        <w:tab w:val="left" w:pos="6800"/>
      </w:tabs>
      <w:autoSpaceDE w:val="0"/>
      <w:autoSpaceDN w:val="0"/>
      <w:adjustRightInd w:val="0"/>
      <w:spacing w:after="0" w:line="260" w:lineRule="atLeast"/>
      <w:jc w:val="both"/>
    </w:pPr>
    <w:rPr>
      <w:rFonts w:ascii="Kievit" w:hAnsi="Kievit" w:cs="Kievit"/>
      <w:color w:val="000000"/>
      <w:w w:val="0"/>
      <w:sz w:val="18"/>
      <w:szCs w:val="18"/>
      <w:lang w:eastAsia="nb-NO" w:bidi="he-IL"/>
    </w:rPr>
  </w:style>
  <w:style w:type="paragraph" w:customStyle="1" w:styleId="a1ffa1f">
    <w:name w:val="a1f [f/a1/f]"/>
    <w:next w:val="a1fa1"/>
    <w:uiPriority w:val="99"/>
    <w:rsid w:val="00C929CF"/>
    <w:pPr>
      <w:tabs>
        <w:tab w:val="left" w:pos="340"/>
        <w:tab w:val="left" w:pos="680"/>
        <w:tab w:val="left" w:pos="1020"/>
        <w:tab w:val="left" w:pos="1360"/>
        <w:tab w:val="left" w:pos="1700"/>
        <w:tab w:val="left" w:pos="2040"/>
        <w:tab w:val="left" w:pos="2380"/>
        <w:tab w:val="left" w:pos="2720"/>
        <w:tab w:val="left" w:pos="3060"/>
        <w:tab w:val="left" w:pos="3400"/>
        <w:tab w:val="left" w:pos="3740"/>
        <w:tab w:val="left" w:pos="4080"/>
        <w:tab w:val="left" w:pos="4420"/>
        <w:tab w:val="left" w:pos="4760"/>
        <w:tab w:val="left" w:pos="5100"/>
        <w:tab w:val="left" w:pos="5440"/>
        <w:tab w:val="left" w:pos="5780"/>
        <w:tab w:val="left" w:pos="6120"/>
        <w:tab w:val="left" w:pos="6460"/>
        <w:tab w:val="left" w:pos="6800"/>
      </w:tabs>
      <w:autoSpaceDE w:val="0"/>
      <w:autoSpaceDN w:val="0"/>
      <w:adjustRightInd w:val="0"/>
      <w:spacing w:before="260" w:after="0" w:line="260" w:lineRule="atLeast"/>
      <w:jc w:val="both"/>
    </w:pPr>
    <w:rPr>
      <w:rFonts w:ascii="Kievit" w:hAnsi="Kievit" w:cs="Kievit"/>
      <w:color w:val="000000"/>
      <w:w w:val="0"/>
      <w:sz w:val="18"/>
      <w:szCs w:val="18"/>
      <w:lang w:eastAsia="nb-NO" w:bidi="he-IL"/>
    </w:rPr>
  </w:style>
  <w:style w:type="character" w:customStyle="1" w:styleId="Italic">
    <w:name w:val="Italic"/>
    <w:uiPriority w:val="99"/>
    <w:rsid w:val="00C929CF"/>
    <w:rPr>
      <w:i/>
      <w:iCs/>
    </w:rPr>
  </w:style>
  <w:style w:type="paragraph" w:customStyle="1" w:styleId="a1tfa1t">
    <w:name w:val="a1t [f/a1/t]"/>
    <w:uiPriority w:val="99"/>
    <w:rsid w:val="00C929CF"/>
    <w:pPr>
      <w:tabs>
        <w:tab w:val="left" w:pos="440"/>
        <w:tab w:val="left" w:pos="840"/>
        <w:tab w:val="left" w:pos="7180"/>
        <w:tab w:val="left" w:pos="7900"/>
        <w:tab w:val="left" w:pos="8620"/>
      </w:tabs>
      <w:suppressAutoHyphens/>
      <w:autoSpaceDE w:val="0"/>
      <w:autoSpaceDN w:val="0"/>
      <w:adjustRightInd w:val="0"/>
      <w:spacing w:after="0" w:line="200" w:lineRule="atLeast"/>
    </w:pPr>
    <w:rPr>
      <w:rFonts w:ascii="RotisSemiSans ExtraBold" w:hAnsi="RotisSemiSans ExtraBold" w:cs="RotisSemiSans ExtraBold"/>
      <w:caps/>
      <w:w w:val="0"/>
      <w:sz w:val="20"/>
      <w:szCs w:val="20"/>
      <w:lang w:eastAsia="nb-NO" w:bidi="he-IL"/>
    </w:rPr>
  </w:style>
  <w:style w:type="paragraph" w:customStyle="1" w:styleId="formel">
    <w:name w:val="formel"/>
    <w:uiPriority w:val="99"/>
    <w:rsid w:val="00C929CF"/>
    <w:pPr>
      <w:tabs>
        <w:tab w:val="left" w:pos="560"/>
      </w:tabs>
      <w:autoSpaceDE w:val="0"/>
      <w:autoSpaceDN w:val="0"/>
      <w:adjustRightInd w:val="0"/>
      <w:spacing w:before="280" w:after="280" w:line="260" w:lineRule="atLeast"/>
      <w:ind w:left="560" w:hanging="560"/>
    </w:pPr>
    <w:rPr>
      <w:rFonts w:ascii="RotisSemiSans" w:hAnsi="RotisSemiSans" w:cs="RotisSemiSans"/>
      <w:color w:val="00FFFF"/>
      <w:w w:val="0"/>
      <w:sz w:val="20"/>
      <w:szCs w:val="20"/>
      <w:lang w:eastAsia="nb-NO" w:bidi="he-IL"/>
    </w:rPr>
  </w:style>
  <w:style w:type="paragraph" w:customStyle="1" w:styleId="formelunr">
    <w:name w:val="formel u nr"/>
    <w:uiPriority w:val="99"/>
    <w:rsid w:val="00C929CF"/>
    <w:pPr>
      <w:tabs>
        <w:tab w:val="left" w:pos="280"/>
      </w:tabs>
      <w:autoSpaceDE w:val="0"/>
      <w:autoSpaceDN w:val="0"/>
      <w:adjustRightInd w:val="0"/>
      <w:spacing w:before="160" w:after="280" w:line="260" w:lineRule="atLeast"/>
      <w:ind w:left="560"/>
    </w:pPr>
    <w:rPr>
      <w:rFonts w:ascii="RotisSerif" w:hAnsi="RotisSerif" w:cs="RotisSerif"/>
      <w:color w:val="000000"/>
      <w:w w:val="0"/>
      <w:sz w:val="20"/>
      <w:szCs w:val="20"/>
      <w:lang w:eastAsia="nb-NO" w:bidi="he-IL"/>
    </w:rPr>
  </w:style>
  <w:style w:type="character" w:customStyle="1" w:styleId="ItalicSubscript">
    <w:name w:val="ItalicSubscript"/>
    <w:uiPriority w:val="99"/>
    <w:rsid w:val="00C929CF"/>
    <w:rPr>
      <w:i/>
      <w:iCs/>
      <w:vertAlign w:val="subscript"/>
    </w:rPr>
  </w:style>
  <w:style w:type="character" w:customStyle="1" w:styleId="Subscript">
    <w:name w:val="Subscript"/>
    <w:uiPriority w:val="99"/>
    <w:rsid w:val="00C929CF"/>
    <w:rPr>
      <w:vertAlign w:val="sub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047C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047C6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rdtekst">
    <w:name w:val="Body Text"/>
    <w:basedOn w:val="Normal"/>
    <w:link w:val="BrdtekstTegn"/>
    <w:rsid w:val="003C6B99"/>
    <w:pPr>
      <w:tabs>
        <w:tab w:val="left" w:pos="453"/>
        <w:tab w:val="left" w:pos="680"/>
        <w:tab w:val="left" w:pos="7200"/>
        <w:tab w:val="left" w:pos="7920"/>
        <w:tab w:val="left" w:pos="8640"/>
      </w:tabs>
      <w:spacing w:before="0" w:after="0" w:line="260" w:lineRule="exact"/>
      <w:jc w:val="both"/>
    </w:pPr>
    <w:rPr>
      <w:rFonts w:eastAsia="Times"/>
      <w:sz w:val="22"/>
      <w:szCs w:val="20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3C6B99"/>
    <w:rPr>
      <w:rFonts w:ascii="Times New Roman" w:eastAsia="Times" w:hAnsi="Times New Roman" w:cs="Times New Roman"/>
      <w:szCs w:val="20"/>
      <w:lang w:eastAsia="nb-NO"/>
    </w:rPr>
  </w:style>
  <w:style w:type="paragraph" w:customStyle="1" w:styleId="m2mm2">
    <w:name w:val="m2 [m/m/2]"/>
    <w:uiPriority w:val="99"/>
    <w:rsid w:val="003C6B99"/>
    <w:pPr>
      <w:keepNext/>
      <w:widowControl w:val="0"/>
      <w:tabs>
        <w:tab w:val="right" w:pos="567"/>
        <w:tab w:val="left" w:pos="794"/>
      </w:tabs>
      <w:autoSpaceDE w:val="0"/>
      <w:autoSpaceDN w:val="0"/>
      <w:adjustRightInd w:val="0"/>
      <w:spacing w:before="760" w:after="0" w:line="380" w:lineRule="atLeast"/>
      <w:ind w:left="794" w:hanging="794"/>
    </w:pPr>
    <w:rPr>
      <w:rFonts w:ascii="Kievit-Medium" w:eastAsia="Times New Roman" w:hAnsi="Kievit-Medium" w:cs="Kievit-Medium"/>
      <w:color w:val="01FFFF"/>
      <w:sz w:val="32"/>
      <w:szCs w:val="32"/>
      <w:lang w:val="pl-PL" w:eastAsia="pl-PL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81F7C"/>
    <w:rPr>
      <w:b/>
      <w:bCs/>
      <w:lang w:val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81F7C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92B18"/>
    <w:pPr>
      <w:ind w:left="720"/>
      <w:contextualSpacing/>
    </w:pPr>
  </w:style>
  <w:style w:type="paragraph" w:customStyle="1" w:styleId="komm1af-f">
    <w:name w:val="komm1af-_f"/>
    <w:basedOn w:val="komm1aff"/>
    <w:next w:val="Normal"/>
    <w:rsid w:val="00C929CF"/>
    <w:pPr>
      <w:spacing w:before="0"/>
    </w:pPr>
  </w:style>
  <w:style w:type="paragraph" w:customStyle="1" w:styleId="komm1aff">
    <w:name w:val="komm1af_f"/>
    <w:basedOn w:val="Normal"/>
    <w:next w:val="Normal"/>
    <w:rsid w:val="00C929CF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160" w:after="0" w:line="300" w:lineRule="atLeast"/>
    </w:pPr>
    <w:rPr>
      <w:color w:val="DA0000"/>
      <w:sz w:val="22"/>
      <w:lang w:val="nb-NO"/>
    </w:rPr>
  </w:style>
  <w:style w:type="character" w:styleId="Merknadsreferanse">
    <w:name w:val="annotation reference"/>
    <w:uiPriority w:val="99"/>
    <w:rsid w:val="00C929C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C929CF"/>
    <w:rPr>
      <w:sz w:val="20"/>
      <w:szCs w:val="20"/>
      <w:lang w:val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929C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1fb1">
    <w:name w:val="b1 [f/b1/]"/>
    <w:uiPriority w:val="99"/>
    <w:rsid w:val="00C929CF"/>
    <w:pPr>
      <w:tabs>
        <w:tab w:val="left" w:pos="680"/>
        <w:tab w:val="left" w:pos="1020"/>
        <w:tab w:val="left" w:pos="1360"/>
        <w:tab w:val="left" w:pos="1700"/>
        <w:tab w:val="left" w:pos="2040"/>
        <w:tab w:val="left" w:pos="2380"/>
        <w:tab w:val="left" w:pos="2720"/>
        <w:tab w:val="left" w:pos="3060"/>
        <w:tab w:val="left" w:pos="3400"/>
        <w:tab w:val="left" w:pos="3740"/>
        <w:tab w:val="left" w:pos="4080"/>
        <w:tab w:val="left" w:pos="4420"/>
        <w:tab w:val="left" w:pos="4760"/>
        <w:tab w:val="left" w:pos="5100"/>
        <w:tab w:val="left" w:pos="5440"/>
        <w:tab w:val="left" w:pos="5780"/>
        <w:tab w:val="left" w:pos="6120"/>
        <w:tab w:val="left" w:pos="6460"/>
        <w:tab w:val="left" w:pos="6800"/>
      </w:tabs>
      <w:autoSpaceDE w:val="0"/>
      <w:autoSpaceDN w:val="0"/>
      <w:adjustRightInd w:val="0"/>
      <w:spacing w:after="0" w:line="260" w:lineRule="atLeast"/>
      <w:ind w:firstLine="340"/>
      <w:jc w:val="both"/>
    </w:pPr>
    <w:rPr>
      <w:rFonts w:ascii="Minion" w:hAnsi="Minion" w:cs="Minion"/>
      <w:color w:val="000000"/>
      <w:w w:val="0"/>
      <w:sz w:val="20"/>
      <w:szCs w:val="20"/>
      <w:lang w:eastAsia="nb-NO" w:bidi="he-IL"/>
    </w:rPr>
  </w:style>
  <w:style w:type="paragraph" w:customStyle="1" w:styleId="b1ffb1f">
    <w:name w:val="b1f [f/b1/f]"/>
    <w:next w:val="b1fb1"/>
    <w:uiPriority w:val="99"/>
    <w:rsid w:val="00C929CF"/>
    <w:pPr>
      <w:tabs>
        <w:tab w:val="left" w:pos="340"/>
        <w:tab w:val="left" w:pos="680"/>
        <w:tab w:val="left" w:pos="1020"/>
        <w:tab w:val="left" w:pos="1360"/>
        <w:tab w:val="left" w:pos="1700"/>
        <w:tab w:val="left" w:pos="2040"/>
        <w:tab w:val="left" w:pos="2380"/>
        <w:tab w:val="left" w:pos="2720"/>
        <w:tab w:val="left" w:pos="3060"/>
        <w:tab w:val="left" w:pos="3400"/>
        <w:tab w:val="left" w:pos="3740"/>
        <w:tab w:val="left" w:pos="4080"/>
        <w:tab w:val="left" w:pos="4420"/>
        <w:tab w:val="left" w:pos="4760"/>
        <w:tab w:val="left" w:pos="5100"/>
        <w:tab w:val="left" w:pos="5440"/>
        <w:tab w:val="left" w:pos="5780"/>
        <w:tab w:val="left" w:pos="6120"/>
        <w:tab w:val="left" w:pos="6460"/>
        <w:tab w:val="left" w:pos="6800"/>
      </w:tabs>
      <w:autoSpaceDE w:val="0"/>
      <w:autoSpaceDN w:val="0"/>
      <w:adjustRightInd w:val="0"/>
      <w:spacing w:before="280" w:after="0" w:line="260" w:lineRule="atLeast"/>
      <w:jc w:val="both"/>
    </w:pPr>
    <w:rPr>
      <w:rFonts w:ascii="Minion" w:hAnsi="Minion" w:cs="Minion"/>
      <w:color w:val="000000"/>
      <w:w w:val="0"/>
      <w:sz w:val="20"/>
      <w:szCs w:val="20"/>
      <w:lang w:eastAsia="nb-NO" w:bidi="he-IL"/>
    </w:rPr>
  </w:style>
  <w:style w:type="paragraph" w:customStyle="1" w:styleId="a1fa1">
    <w:name w:val="a1 [f/a1/]"/>
    <w:uiPriority w:val="99"/>
    <w:rsid w:val="00C929CF"/>
    <w:pPr>
      <w:tabs>
        <w:tab w:val="left" w:pos="680"/>
        <w:tab w:val="left" w:pos="1020"/>
        <w:tab w:val="left" w:pos="1360"/>
        <w:tab w:val="left" w:pos="1700"/>
        <w:tab w:val="left" w:pos="2040"/>
        <w:tab w:val="left" w:pos="2380"/>
        <w:tab w:val="left" w:pos="2720"/>
        <w:tab w:val="left" w:pos="3060"/>
        <w:tab w:val="left" w:pos="3400"/>
        <w:tab w:val="left" w:pos="3740"/>
        <w:tab w:val="left" w:pos="4080"/>
        <w:tab w:val="left" w:pos="4420"/>
        <w:tab w:val="left" w:pos="4760"/>
        <w:tab w:val="left" w:pos="5100"/>
        <w:tab w:val="left" w:pos="5440"/>
        <w:tab w:val="left" w:pos="5780"/>
        <w:tab w:val="left" w:pos="6120"/>
        <w:tab w:val="left" w:pos="6460"/>
        <w:tab w:val="left" w:pos="6800"/>
      </w:tabs>
      <w:autoSpaceDE w:val="0"/>
      <w:autoSpaceDN w:val="0"/>
      <w:adjustRightInd w:val="0"/>
      <w:spacing w:after="0" w:line="260" w:lineRule="atLeast"/>
      <w:ind w:firstLine="340"/>
      <w:jc w:val="both"/>
    </w:pPr>
    <w:rPr>
      <w:rFonts w:ascii="Kievit" w:hAnsi="Kievit" w:cs="Kievit"/>
      <w:color w:val="000000"/>
      <w:w w:val="0"/>
      <w:sz w:val="18"/>
      <w:szCs w:val="18"/>
      <w:lang w:eastAsia="nb-NO" w:bidi="he-IL"/>
    </w:rPr>
  </w:style>
  <w:style w:type="paragraph" w:customStyle="1" w:styleId="a1f-fa1f-">
    <w:name w:val="a1f- [f/a1/f-]"/>
    <w:next w:val="a1fa1"/>
    <w:uiPriority w:val="99"/>
    <w:rsid w:val="00C929CF"/>
    <w:pPr>
      <w:tabs>
        <w:tab w:val="left" w:pos="340"/>
        <w:tab w:val="left" w:pos="680"/>
        <w:tab w:val="left" w:pos="1020"/>
        <w:tab w:val="left" w:pos="1360"/>
        <w:tab w:val="left" w:pos="1700"/>
        <w:tab w:val="left" w:pos="2040"/>
        <w:tab w:val="left" w:pos="2380"/>
        <w:tab w:val="left" w:pos="2720"/>
        <w:tab w:val="left" w:pos="3060"/>
        <w:tab w:val="left" w:pos="3400"/>
        <w:tab w:val="left" w:pos="3740"/>
        <w:tab w:val="left" w:pos="4080"/>
        <w:tab w:val="left" w:pos="4420"/>
        <w:tab w:val="left" w:pos="4760"/>
        <w:tab w:val="left" w:pos="5100"/>
        <w:tab w:val="left" w:pos="5440"/>
        <w:tab w:val="left" w:pos="5780"/>
        <w:tab w:val="left" w:pos="6120"/>
        <w:tab w:val="left" w:pos="6460"/>
        <w:tab w:val="left" w:pos="6800"/>
      </w:tabs>
      <w:autoSpaceDE w:val="0"/>
      <w:autoSpaceDN w:val="0"/>
      <w:adjustRightInd w:val="0"/>
      <w:spacing w:after="0" w:line="260" w:lineRule="atLeast"/>
      <w:jc w:val="both"/>
    </w:pPr>
    <w:rPr>
      <w:rFonts w:ascii="Kievit" w:hAnsi="Kievit" w:cs="Kievit"/>
      <w:color w:val="000000"/>
      <w:w w:val="0"/>
      <w:sz w:val="18"/>
      <w:szCs w:val="18"/>
      <w:lang w:eastAsia="nb-NO" w:bidi="he-IL"/>
    </w:rPr>
  </w:style>
  <w:style w:type="paragraph" w:customStyle="1" w:styleId="a1ffa1f">
    <w:name w:val="a1f [f/a1/f]"/>
    <w:next w:val="a1fa1"/>
    <w:uiPriority w:val="99"/>
    <w:rsid w:val="00C929CF"/>
    <w:pPr>
      <w:tabs>
        <w:tab w:val="left" w:pos="340"/>
        <w:tab w:val="left" w:pos="680"/>
        <w:tab w:val="left" w:pos="1020"/>
        <w:tab w:val="left" w:pos="1360"/>
        <w:tab w:val="left" w:pos="1700"/>
        <w:tab w:val="left" w:pos="2040"/>
        <w:tab w:val="left" w:pos="2380"/>
        <w:tab w:val="left" w:pos="2720"/>
        <w:tab w:val="left" w:pos="3060"/>
        <w:tab w:val="left" w:pos="3400"/>
        <w:tab w:val="left" w:pos="3740"/>
        <w:tab w:val="left" w:pos="4080"/>
        <w:tab w:val="left" w:pos="4420"/>
        <w:tab w:val="left" w:pos="4760"/>
        <w:tab w:val="left" w:pos="5100"/>
        <w:tab w:val="left" w:pos="5440"/>
        <w:tab w:val="left" w:pos="5780"/>
        <w:tab w:val="left" w:pos="6120"/>
        <w:tab w:val="left" w:pos="6460"/>
        <w:tab w:val="left" w:pos="6800"/>
      </w:tabs>
      <w:autoSpaceDE w:val="0"/>
      <w:autoSpaceDN w:val="0"/>
      <w:adjustRightInd w:val="0"/>
      <w:spacing w:before="260" w:after="0" w:line="260" w:lineRule="atLeast"/>
      <w:jc w:val="both"/>
    </w:pPr>
    <w:rPr>
      <w:rFonts w:ascii="Kievit" w:hAnsi="Kievit" w:cs="Kievit"/>
      <w:color w:val="000000"/>
      <w:w w:val="0"/>
      <w:sz w:val="18"/>
      <w:szCs w:val="18"/>
      <w:lang w:eastAsia="nb-NO" w:bidi="he-IL"/>
    </w:rPr>
  </w:style>
  <w:style w:type="character" w:customStyle="1" w:styleId="Italic">
    <w:name w:val="Italic"/>
    <w:uiPriority w:val="99"/>
    <w:rsid w:val="00C929CF"/>
    <w:rPr>
      <w:i/>
      <w:iCs/>
    </w:rPr>
  </w:style>
  <w:style w:type="paragraph" w:customStyle="1" w:styleId="a1tfa1t">
    <w:name w:val="a1t [f/a1/t]"/>
    <w:uiPriority w:val="99"/>
    <w:rsid w:val="00C929CF"/>
    <w:pPr>
      <w:tabs>
        <w:tab w:val="left" w:pos="440"/>
        <w:tab w:val="left" w:pos="840"/>
        <w:tab w:val="left" w:pos="7180"/>
        <w:tab w:val="left" w:pos="7900"/>
        <w:tab w:val="left" w:pos="8620"/>
      </w:tabs>
      <w:suppressAutoHyphens/>
      <w:autoSpaceDE w:val="0"/>
      <w:autoSpaceDN w:val="0"/>
      <w:adjustRightInd w:val="0"/>
      <w:spacing w:after="0" w:line="200" w:lineRule="atLeast"/>
    </w:pPr>
    <w:rPr>
      <w:rFonts w:ascii="RotisSemiSans ExtraBold" w:hAnsi="RotisSemiSans ExtraBold" w:cs="RotisSemiSans ExtraBold"/>
      <w:caps/>
      <w:w w:val="0"/>
      <w:sz w:val="20"/>
      <w:szCs w:val="20"/>
      <w:lang w:eastAsia="nb-NO" w:bidi="he-IL"/>
    </w:rPr>
  </w:style>
  <w:style w:type="paragraph" w:customStyle="1" w:styleId="formel">
    <w:name w:val="formel"/>
    <w:uiPriority w:val="99"/>
    <w:rsid w:val="00C929CF"/>
    <w:pPr>
      <w:tabs>
        <w:tab w:val="left" w:pos="560"/>
      </w:tabs>
      <w:autoSpaceDE w:val="0"/>
      <w:autoSpaceDN w:val="0"/>
      <w:adjustRightInd w:val="0"/>
      <w:spacing w:before="280" w:after="280" w:line="260" w:lineRule="atLeast"/>
      <w:ind w:left="560" w:hanging="560"/>
    </w:pPr>
    <w:rPr>
      <w:rFonts w:ascii="RotisSemiSans" w:hAnsi="RotisSemiSans" w:cs="RotisSemiSans"/>
      <w:color w:val="00FFFF"/>
      <w:w w:val="0"/>
      <w:sz w:val="20"/>
      <w:szCs w:val="20"/>
      <w:lang w:eastAsia="nb-NO" w:bidi="he-IL"/>
    </w:rPr>
  </w:style>
  <w:style w:type="paragraph" w:customStyle="1" w:styleId="formelunr">
    <w:name w:val="formel u nr"/>
    <w:uiPriority w:val="99"/>
    <w:rsid w:val="00C929CF"/>
    <w:pPr>
      <w:tabs>
        <w:tab w:val="left" w:pos="280"/>
      </w:tabs>
      <w:autoSpaceDE w:val="0"/>
      <w:autoSpaceDN w:val="0"/>
      <w:adjustRightInd w:val="0"/>
      <w:spacing w:before="160" w:after="280" w:line="260" w:lineRule="atLeast"/>
      <w:ind w:left="560"/>
    </w:pPr>
    <w:rPr>
      <w:rFonts w:ascii="RotisSerif" w:hAnsi="RotisSerif" w:cs="RotisSerif"/>
      <w:color w:val="000000"/>
      <w:w w:val="0"/>
      <w:sz w:val="20"/>
      <w:szCs w:val="20"/>
      <w:lang w:eastAsia="nb-NO" w:bidi="he-IL"/>
    </w:rPr>
  </w:style>
  <w:style w:type="character" w:customStyle="1" w:styleId="ItalicSubscript">
    <w:name w:val="ItalicSubscript"/>
    <w:uiPriority w:val="99"/>
    <w:rsid w:val="00C929CF"/>
    <w:rPr>
      <w:i/>
      <w:iCs/>
      <w:vertAlign w:val="subscript"/>
    </w:rPr>
  </w:style>
  <w:style w:type="character" w:customStyle="1" w:styleId="Subscript">
    <w:name w:val="Subscript"/>
    <w:uiPriority w:val="99"/>
    <w:rsid w:val="00C929CF"/>
    <w:rPr>
      <w:vertAlign w:val="sub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047C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047C6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rdtekst">
    <w:name w:val="Body Text"/>
    <w:basedOn w:val="Normal"/>
    <w:link w:val="BrdtekstTegn"/>
    <w:rsid w:val="003C6B99"/>
    <w:pPr>
      <w:tabs>
        <w:tab w:val="left" w:pos="453"/>
        <w:tab w:val="left" w:pos="680"/>
        <w:tab w:val="left" w:pos="7200"/>
        <w:tab w:val="left" w:pos="7920"/>
        <w:tab w:val="left" w:pos="8640"/>
      </w:tabs>
      <w:spacing w:before="0" w:after="0" w:line="260" w:lineRule="exact"/>
      <w:jc w:val="both"/>
    </w:pPr>
    <w:rPr>
      <w:rFonts w:eastAsia="Times"/>
      <w:sz w:val="22"/>
      <w:szCs w:val="20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3C6B99"/>
    <w:rPr>
      <w:rFonts w:ascii="Times New Roman" w:eastAsia="Times" w:hAnsi="Times New Roman" w:cs="Times New Roman"/>
      <w:szCs w:val="20"/>
      <w:lang w:eastAsia="nb-NO"/>
    </w:rPr>
  </w:style>
  <w:style w:type="paragraph" w:customStyle="1" w:styleId="m2mm2">
    <w:name w:val="m2 [m/m/2]"/>
    <w:uiPriority w:val="99"/>
    <w:rsid w:val="003C6B99"/>
    <w:pPr>
      <w:keepNext/>
      <w:widowControl w:val="0"/>
      <w:tabs>
        <w:tab w:val="right" w:pos="567"/>
        <w:tab w:val="left" w:pos="794"/>
      </w:tabs>
      <w:autoSpaceDE w:val="0"/>
      <w:autoSpaceDN w:val="0"/>
      <w:adjustRightInd w:val="0"/>
      <w:spacing w:before="760" w:after="0" w:line="380" w:lineRule="atLeast"/>
      <w:ind w:left="794" w:hanging="794"/>
    </w:pPr>
    <w:rPr>
      <w:rFonts w:ascii="Kievit-Medium" w:eastAsia="Times New Roman" w:hAnsi="Kievit-Medium" w:cs="Kievit-Medium"/>
      <w:color w:val="01FFFF"/>
      <w:sz w:val="32"/>
      <w:szCs w:val="32"/>
      <w:lang w:val="pl-PL" w:eastAsia="pl-PL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81F7C"/>
    <w:rPr>
      <w:b/>
      <w:bCs/>
      <w:lang w:val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81F7C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C27D3-065A-488D-BD9E-845963AF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 Norwegian Business School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Bøhren, Øyvind</dc:creator>
  <cp:lastModifiedBy>Malgorzata Golinska</cp:lastModifiedBy>
  <cp:revision>2</cp:revision>
  <dcterms:created xsi:type="dcterms:W3CDTF">2015-11-24T11:50:00Z</dcterms:created>
  <dcterms:modified xsi:type="dcterms:W3CDTF">2015-11-24T11:50:00Z</dcterms:modified>
</cp:coreProperties>
</file>